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47B0" w14:textId="4C45D0D6" w:rsidR="0001257D" w:rsidRDefault="0001257D" w:rsidP="00BA6E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257D">
        <w:rPr>
          <w:b/>
          <w:bCs/>
          <w:sz w:val="28"/>
          <w:szCs w:val="28"/>
        </w:rPr>
        <w:t xml:space="preserve">AM </w:t>
      </w:r>
      <w:r w:rsidR="006B4874">
        <w:rPr>
          <w:b/>
          <w:bCs/>
          <w:sz w:val="28"/>
          <w:szCs w:val="28"/>
        </w:rPr>
        <w:t xml:space="preserve">Data </w:t>
      </w:r>
      <w:r w:rsidR="00CD7B67">
        <w:rPr>
          <w:b/>
          <w:bCs/>
          <w:sz w:val="28"/>
          <w:szCs w:val="28"/>
        </w:rPr>
        <w:t>Man</w:t>
      </w:r>
      <w:r w:rsidR="00452E66">
        <w:rPr>
          <w:b/>
          <w:bCs/>
          <w:sz w:val="28"/>
          <w:szCs w:val="28"/>
        </w:rPr>
        <w:t>agement</w:t>
      </w:r>
      <w:r w:rsidRPr="0001257D">
        <w:rPr>
          <w:b/>
          <w:bCs/>
          <w:sz w:val="28"/>
          <w:szCs w:val="28"/>
        </w:rPr>
        <w:t xml:space="preserve"> </w:t>
      </w:r>
    </w:p>
    <w:p w14:paraId="1578F19A" w14:textId="139E667B" w:rsidR="00BA6E88" w:rsidRDefault="003B1A62" w:rsidP="00BA6E88">
      <w:pPr>
        <w:jc w:val="center"/>
        <w:rPr>
          <w:b/>
          <w:bCs/>
          <w:sz w:val="28"/>
          <w:szCs w:val="28"/>
        </w:rPr>
      </w:pPr>
      <w:r w:rsidRPr="00BA6E88">
        <w:rPr>
          <w:b/>
          <w:bCs/>
          <w:sz w:val="28"/>
          <w:szCs w:val="28"/>
        </w:rPr>
        <w:t>For the DOD Guidebook</w:t>
      </w:r>
    </w:p>
    <w:p w14:paraId="3A777131" w14:textId="77777777" w:rsidR="00BA6E88" w:rsidRDefault="00BA6E88" w:rsidP="00BA6E88">
      <w:pPr>
        <w:jc w:val="center"/>
        <w:rPr>
          <w:b/>
          <w:bCs/>
          <w:sz w:val="28"/>
          <w:szCs w:val="28"/>
        </w:rPr>
      </w:pPr>
    </w:p>
    <w:p w14:paraId="53B52EE9" w14:textId="22088AC9" w:rsidR="008506D7" w:rsidRPr="001236F7" w:rsidRDefault="008506D7">
      <w:pPr>
        <w:rPr>
          <w:b/>
          <w:bCs/>
          <w:sz w:val="24"/>
          <w:szCs w:val="24"/>
        </w:rPr>
      </w:pPr>
      <w:r w:rsidRPr="001236F7">
        <w:rPr>
          <w:b/>
          <w:bCs/>
          <w:sz w:val="24"/>
          <w:szCs w:val="24"/>
        </w:rPr>
        <w:t>King for a Day</w:t>
      </w:r>
    </w:p>
    <w:p w14:paraId="7AC02EC9" w14:textId="402C4005" w:rsidR="00F1432E" w:rsidRDefault="0001257D">
      <w:pPr>
        <w:rPr>
          <w:b/>
          <w:bCs/>
          <w:i/>
          <w:iCs/>
        </w:rPr>
      </w:pPr>
      <w:r w:rsidRPr="0001257D">
        <w:rPr>
          <w:b/>
          <w:bCs/>
          <w:i/>
          <w:iCs/>
        </w:rPr>
        <w:t xml:space="preserve">AM </w:t>
      </w:r>
      <w:r w:rsidR="006B4874">
        <w:rPr>
          <w:b/>
          <w:bCs/>
          <w:i/>
          <w:iCs/>
        </w:rPr>
        <w:t>Data</w:t>
      </w:r>
      <w:r w:rsidR="00F1432E" w:rsidRPr="00F1432E">
        <w:rPr>
          <w:b/>
          <w:bCs/>
          <w:i/>
          <w:iCs/>
        </w:rPr>
        <w:t xml:space="preserve"> </w:t>
      </w:r>
      <w:r w:rsidR="00452E66">
        <w:rPr>
          <w:b/>
          <w:bCs/>
          <w:i/>
          <w:iCs/>
        </w:rPr>
        <w:t>Management</w:t>
      </w:r>
    </w:p>
    <w:p w14:paraId="252BF1C5" w14:textId="22AA4FB2" w:rsidR="008506D7" w:rsidRPr="001236F7" w:rsidRDefault="008506D7">
      <w:pPr>
        <w:rPr>
          <w:b/>
          <w:bCs/>
          <w:u w:val="single"/>
        </w:rPr>
      </w:pPr>
      <w:r w:rsidRPr="001236F7">
        <w:rPr>
          <w:b/>
          <w:bCs/>
          <w:u w:val="single"/>
        </w:rPr>
        <w:t>These represent objectives which we intend to solve through the topics above: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5"/>
        <w:gridCol w:w="3710"/>
        <w:gridCol w:w="4385"/>
      </w:tblGrid>
      <w:tr w:rsidR="000C2E74" w14:paraId="0C84BC7A" w14:textId="77777777" w:rsidTr="00A55A36">
        <w:trPr>
          <w:cantSplit/>
          <w:trHeight w:val="260"/>
        </w:trPr>
        <w:tc>
          <w:tcPr>
            <w:tcW w:w="1255" w:type="dxa"/>
          </w:tcPr>
          <w:p w14:paraId="2695D176" w14:textId="00C39132" w:rsidR="000C2E74" w:rsidRPr="00A568AB" w:rsidRDefault="00712C19" w:rsidP="002F7F49">
            <w:pPr>
              <w:rPr>
                <w:b/>
                <w:bCs/>
              </w:rPr>
            </w:pPr>
            <w:r w:rsidRPr="00A568AB">
              <w:rPr>
                <w:b/>
                <w:bCs/>
              </w:rPr>
              <w:t>Categories</w:t>
            </w:r>
          </w:p>
        </w:tc>
        <w:tc>
          <w:tcPr>
            <w:tcW w:w="3710" w:type="dxa"/>
          </w:tcPr>
          <w:p w14:paraId="3265E7ED" w14:textId="47C68980" w:rsidR="000C2E74" w:rsidRPr="00A568AB" w:rsidRDefault="000C2E74" w:rsidP="002F7F49">
            <w:pPr>
              <w:rPr>
                <w:b/>
                <w:bCs/>
              </w:rPr>
            </w:pPr>
            <w:r w:rsidRPr="00A568AB">
              <w:rPr>
                <w:b/>
                <w:bCs/>
              </w:rPr>
              <w:t>Topic</w:t>
            </w:r>
          </w:p>
        </w:tc>
        <w:tc>
          <w:tcPr>
            <w:tcW w:w="4385" w:type="dxa"/>
          </w:tcPr>
          <w:p w14:paraId="0A7F32D6" w14:textId="1F084BBF" w:rsidR="000C2E74" w:rsidRPr="00A568AB" w:rsidRDefault="000C2E74" w:rsidP="00856A9A">
            <w:pPr>
              <w:rPr>
                <w:b/>
                <w:bCs/>
              </w:rPr>
            </w:pPr>
            <w:r w:rsidRPr="00A568AB">
              <w:rPr>
                <w:b/>
                <w:bCs/>
              </w:rPr>
              <w:t>Goal / Statement</w:t>
            </w:r>
          </w:p>
        </w:tc>
      </w:tr>
      <w:tr w:rsidR="00A568AB" w14:paraId="559DB17D" w14:textId="77777777" w:rsidTr="00A568AB">
        <w:trPr>
          <w:cantSplit/>
          <w:trHeight w:val="2780"/>
        </w:trPr>
        <w:tc>
          <w:tcPr>
            <w:tcW w:w="1255" w:type="dxa"/>
            <w:textDirection w:val="btLr"/>
          </w:tcPr>
          <w:p w14:paraId="512D3905" w14:textId="0F49D32E" w:rsidR="00A568AB" w:rsidRPr="00F36AAE" w:rsidRDefault="00A568AB" w:rsidP="004B3C2E">
            <w:pPr>
              <w:ind w:left="113" w:right="113"/>
            </w:pPr>
            <w:r w:rsidRPr="00DE43BD">
              <w:t>Encourage good, sufficiently consistent data best practices (FAIR)</w:t>
            </w:r>
          </w:p>
        </w:tc>
        <w:tc>
          <w:tcPr>
            <w:tcW w:w="3710" w:type="dxa"/>
          </w:tcPr>
          <w:p w14:paraId="240BA1CB" w14:textId="16A1D87A" w:rsidR="00A568AB" w:rsidRDefault="00A568AB" w:rsidP="002F7F49"/>
        </w:tc>
        <w:tc>
          <w:tcPr>
            <w:tcW w:w="4385" w:type="dxa"/>
            <w:vAlign w:val="center"/>
          </w:tcPr>
          <w:p w14:paraId="6D4ABA1E" w14:textId="577D8476" w:rsidR="00A568AB" w:rsidRDefault="00A568AB" w:rsidP="00856A9A">
            <w:r w:rsidRPr="00F633AA">
              <w:t>Encourage a culture of data and adoption of good data practices that is significantly wider than AM</w:t>
            </w:r>
          </w:p>
        </w:tc>
      </w:tr>
      <w:tr w:rsidR="00EB1971" w14:paraId="4061328D" w14:textId="77777777" w:rsidTr="009B26F2">
        <w:trPr>
          <w:cantSplit/>
          <w:trHeight w:val="620"/>
        </w:trPr>
        <w:tc>
          <w:tcPr>
            <w:tcW w:w="1255" w:type="dxa"/>
            <w:vMerge w:val="restart"/>
            <w:textDirection w:val="btLr"/>
          </w:tcPr>
          <w:p w14:paraId="167CE558" w14:textId="6F74D601" w:rsidR="00EB1971" w:rsidRPr="008558CA" w:rsidRDefault="00EB1971" w:rsidP="006470DA">
            <w:pPr>
              <w:ind w:left="113" w:right="113"/>
            </w:pPr>
            <w:r w:rsidRPr="002D38EA">
              <w:t>Continued research and development of infrastructure and standards</w:t>
            </w:r>
          </w:p>
        </w:tc>
        <w:tc>
          <w:tcPr>
            <w:tcW w:w="3710" w:type="dxa"/>
          </w:tcPr>
          <w:p w14:paraId="1FC6B90A" w14:textId="1FBFA822" w:rsidR="00EB1971" w:rsidRPr="003A19E1" w:rsidRDefault="00EB1971" w:rsidP="002F7F49">
            <w:r w:rsidRPr="0015471F">
              <w:t>Infrastructure Development (edge, cyber, IIOT)</w:t>
            </w:r>
          </w:p>
        </w:tc>
        <w:tc>
          <w:tcPr>
            <w:tcW w:w="4385" w:type="dxa"/>
            <w:vMerge w:val="restart"/>
            <w:vAlign w:val="center"/>
          </w:tcPr>
          <w:p w14:paraId="25B5894E" w14:textId="739B2298" w:rsidR="00EB1971" w:rsidRDefault="00EB1971" w:rsidP="007B4754">
            <w:r w:rsidRPr="0051242A">
              <w:t>Standardize security and classification protocols, Minimum Viable Data Package, consistency in terminology across DoD</w:t>
            </w:r>
          </w:p>
        </w:tc>
      </w:tr>
      <w:tr w:rsidR="00EB1971" w14:paraId="10DBE14C" w14:textId="77777777" w:rsidTr="009563C0">
        <w:trPr>
          <w:cantSplit/>
          <w:trHeight w:val="620"/>
        </w:trPr>
        <w:tc>
          <w:tcPr>
            <w:tcW w:w="1255" w:type="dxa"/>
            <w:vMerge/>
          </w:tcPr>
          <w:p w14:paraId="0535DF40" w14:textId="77777777" w:rsidR="00EB1971" w:rsidRPr="008558CA" w:rsidRDefault="00EB1971" w:rsidP="002F7F49"/>
        </w:tc>
        <w:tc>
          <w:tcPr>
            <w:tcW w:w="3710" w:type="dxa"/>
          </w:tcPr>
          <w:p w14:paraId="1026421A" w14:textId="742A1552" w:rsidR="00EB1971" w:rsidRPr="003A19E1" w:rsidRDefault="00EB1971" w:rsidP="002F7F49">
            <w:r w:rsidRPr="009563C0">
              <w:t>Data traceability and providence for management</w:t>
            </w:r>
          </w:p>
        </w:tc>
        <w:tc>
          <w:tcPr>
            <w:tcW w:w="4385" w:type="dxa"/>
            <w:vMerge/>
            <w:vAlign w:val="center"/>
          </w:tcPr>
          <w:p w14:paraId="26C28E5A" w14:textId="7CCEA5EB" w:rsidR="00EB1971" w:rsidRDefault="00EB1971" w:rsidP="007B4754"/>
        </w:tc>
      </w:tr>
      <w:tr w:rsidR="00EB1971" w14:paraId="4A9106D4" w14:textId="77777777" w:rsidTr="00E70013">
        <w:trPr>
          <w:cantSplit/>
          <w:trHeight w:val="620"/>
        </w:trPr>
        <w:tc>
          <w:tcPr>
            <w:tcW w:w="1255" w:type="dxa"/>
            <w:vMerge/>
          </w:tcPr>
          <w:p w14:paraId="5BC11759" w14:textId="77777777" w:rsidR="00EB1971" w:rsidRPr="00321A4D" w:rsidRDefault="00EB1971" w:rsidP="002F7F49"/>
        </w:tc>
        <w:tc>
          <w:tcPr>
            <w:tcW w:w="3710" w:type="dxa"/>
          </w:tcPr>
          <w:p w14:paraId="1F5F0590" w14:textId="580ED6A5" w:rsidR="00EB1971" w:rsidRDefault="00EB1971" w:rsidP="002F7F49">
            <w:r w:rsidRPr="00D774F7">
              <w:t xml:space="preserve">Minimum viable data packages </w:t>
            </w:r>
          </w:p>
        </w:tc>
        <w:tc>
          <w:tcPr>
            <w:tcW w:w="4385" w:type="dxa"/>
            <w:vMerge/>
          </w:tcPr>
          <w:p w14:paraId="1B653616" w14:textId="1EC0255B" w:rsidR="00EB1971" w:rsidRDefault="00EB1971" w:rsidP="002F7F49"/>
        </w:tc>
      </w:tr>
      <w:tr w:rsidR="00EB1971" w14:paraId="5EF94FF2" w14:textId="77777777" w:rsidTr="00A55A36">
        <w:trPr>
          <w:cantSplit/>
          <w:trHeight w:val="845"/>
        </w:trPr>
        <w:tc>
          <w:tcPr>
            <w:tcW w:w="1255" w:type="dxa"/>
            <w:vMerge/>
          </w:tcPr>
          <w:p w14:paraId="1EB4EA8B" w14:textId="77777777" w:rsidR="00EB1971" w:rsidRPr="00321A4D" w:rsidRDefault="00EB1971" w:rsidP="002F7F49"/>
        </w:tc>
        <w:tc>
          <w:tcPr>
            <w:tcW w:w="3710" w:type="dxa"/>
          </w:tcPr>
          <w:p w14:paraId="1D9693DD" w14:textId="79422792" w:rsidR="00EB1971" w:rsidRPr="00DE75AB" w:rsidRDefault="00EB1971" w:rsidP="002F7F49">
            <w:r w:rsidRPr="00374566">
              <w:t xml:space="preserve">Data access restrictions </w:t>
            </w:r>
          </w:p>
        </w:tc>
        <w:tc>
          <w:tcPr>
            <w:tcW w:w="4385" w:type="dxa"/>
            <w:vMerge/>
          </w:tcPr>
          <w:p w14:paraId="34B3560F" w14:textId="77777777" w:rsidR="00EB1971" w:rsidRPr="00E70013" w:rsidRDefault="00EB1971" w:rsidP="002F7F49"/>
        </w:tc>
      </w:tr>
      <w:tr w:rsidR="00EB1971" w14:paraId="625B1181" w14:textId="77777777" w:rsidTr="00A55A36">
        <w:trPr>
          <w:cantSplit/>
          <w:trHeight w:val="845"/>
        </w:trPr>
        <w:tc>
          <w:tcPr>
            <w:tcW w:w="1255" w:type="dxa"/>
            <w:vMerge/>
          </w:tcPr>
          <w:p w14:paraId="2FB579FB" w14:textId="77777777" w:rsidR="00EB1971" w:rsidRPr="00321A4D" w:rsidRDefault="00EB1971" w:rsidP="00B62E91"/>
        </w:tc>
        <w:tc>
          <w:tcPr>
            <w:tcW w:w="3710" w:type="dxa"/>
          </w:tcPr>
          <w:p w14:paraId="60154C8D" w14:textId="04ACFD50" w:rsidR="00EB1971" w:rsidRPr="00DE75AB" w:rsidRDefault="00EB1971" w:rsidP="00B62E91">
            <w:r w:rsidRPr="00F06A7C">
              <w:t>Linking with data security group</w:t>
            </w:r>
          </w:p>
        </w:tc>
        <w:tc>
          <w:tcPr>
            <w:tcW w:w="4385" w:type="dxa"/>
            <w:vMerge/>
          </w:tcPr>
          <w:p w14:paraId="2C26AA2C" w14:textId="49304459" w:rsidR="00EB1971" w:rsidRPr="00E70013" w:rsidRDefault="00EB1971" w:rsidP="00B62E91"/>
        </w:tc>
      </w:tr>
      <w:tr w:rsidR="00EB1971" w14:paraId="602C0B03" w14:textId="77777777" w:rsidTr="0020112D">
        <w:trPr>
          <w:cantSplit/>
          <w:trHeight w:val="845"/>
        </w:trPr>
        <w:tc>
          <w:tcPr>
            <w:tcW w:w="1255" w:type="dxa"/>
            <w:vMerge/>
          </w:tcPr>
          <w:p w14:paraId="726A6AE3" w14:textId="77777777" w:rsidR="00EB1971" w:rsidRPr="00321A4D" w:rsidRDefault="00EB1971" w:rsidP="00B62E91"/>
        </w:tc>
        <w:tc>
          <w:tcPr>
            <w:tcW w:w="3710" w:type="dxa"/>
          </w:tcPr>
          <w:p w14:paraId="77937F2C" w14:textId="73F38BB5" w:rsidR="00EB1971" w:rsidRPr="00DE75AB" w:rsidRDefault="00EB1971" w:rsidP="00B62E91">
            <w:r w:rsidRPr="00374566">
              <w:t>CDEF begin and complete standardization</w:t>
            </w:r>
          </w:p>
        </w:tc>
        <w:tc>
          <w:tcPr>
            <w:tcW w:w="4385" w:type="dxa"/>
            <w:vMerge w:val="restart"/>
            <w:vAlign w:val="center"/>
          </w:tcPr>
          <w:p w14:paraId="7082ACCC" w14:textId="677FBDF1" w:rsidR="00EB1971" w:rsidRPr="00E70013" w:rsidRDefault="00EB1971" w:rsidP="00B62E91">
            <w:r w:rsidRPr="00EB1971">
              <w:t>Begin or complete development of common data dictionary, common data exchange format, data quality indicators</w:t>
            </w:r>
          </w:p>
        </w:tc>
      </w:tr>
      <w:tr w:rsidR="00EB1971" w14:paraId="4164F35B" w14:textId="77777777" w:rsidTr="00A55A36">
        <w:trPr>
          <w:cantSplit/>
          <w:trHeight w:val="845"/>
        </w:trPr>
        <w:tc>
          <w:tcPr>
            <w:tcW w:w="1255" w:type="dxa"/>
            <w:vMerge/>
          </w:tcPr>
          <w:p w14:paraId="462CADF4" w14:textId="77777777" w:rsidR="00EB1971" w:rsidRPr="00321A4D" w:rsidRDefault="00EB1971" w:rsidP="00B62E91"/>
        </w:tc>
        <w:tc>
          <w:tcPr>
            <w:tcW w:w="3710" w:type="dxa"/>
          </w:tcPr>
          <w:p w14:paraId="3B1A4906" w14:textId="4502BBB7" w:rsidR="00EB1971" w:rsidRPr="00DE75AB" w:rsidRDefault="00EB1971" w:rsidP="00B62E91">
            <w:r w:rsidRPr="00F06A7C">
              <w:t>Automated data acquisition</w:t>
            </w:r>
          </w:p>
        </w:tc>
        <w:tc>
          <w:tcPr>
            <w:tcW w:w="4385" w:type="dxa"/>
            <w:vMerge/>
          </w:tcPr>
          <w:p w14:paraId="7A704DC8" w14:textId="77777777" w:rsidR="00EB1971" w:rsidRPr="00E70013" w:rsidRDefault="00EB1971" w:rsidP="00B62E91"/>
        </w:tc>
      </w:tr>
      <w:tr w:rsidR="00EB1971" w14:paraId="5953FA03" w14:textId="77777777" w:rsidTr="00A55A36">
        <w:trPr>
          <w:cantSplit/>
          <w:trHeight w:val="845"/>
        </w:trPr>
        <w:tc>
          <w:tcPr>
            <w:tcW w:w="1255" w:type="dxa"/>
            <w:vMerge/>
          </w:tcPr>
          <w:p w14:paraId="70B0E5F3" w14:textId="77777777" w:rsidR="00EB1971" w:rsidRPr="00321A4D" w:rsidRDefault="00EB1971" w:rsidP="00B62E91"/>
        </w:tc>
        <w:tc>
          <w:tcPr>
            <w:tcW w:w="3710" w:type="dxa"/>
          </w:tcPr>
          <w:p w14:paraId="4D727FAE" w14:textId="4EC93B75" w:rsidR="00EB1971" w:rsidRPr="00DE75AB" w:rsidRDefault="00EB1971" w:rsidP="00B62E91">
            <w:r w:rsidRPr="00894009">
              <w:t>CDD standard completion</w:t>
            </w:r>
          </w:p>
        </w:tc>
        <w:tc>
          <w:tcPr>
            <w:tcW w:w="4385" w:type="dxa"/>
            <w:vMerge/>
          </w:tcPr>
          <w:p w14:paraId="3C991F56" w14:textId="77777777" w:rsidR="00EB1971" w:rsidRPr="00E70013" w:rsidRDefault="00EB1971" w:rsidP="00B62E91"/>
        </w:tc>
      </w:tr>
      <w:tr w:rsidR="00EB1971" w14:paraId="477268EC" w14:textId="77777777" w:rsidTr="006B5CE4">
        <w:trPr>
          <w:cantSplit/>
          <w:trHeight w:val="620"/>
        </w:trPr>
        <w:tc>
          <w:tcPr>
            <w:tcW w:w="1255" w:type="dxa"/>
            <w:vMerge/>
          </w:tcPr>
          <w:p w14:paraId="2D318F21" w14:textId="77777777" w:rsidR="00EB1971" w:rsidRPr="00321A4D" w:rsidRDefault="00EB1971" w:rsidP="002F7F49"/>
        </w:tc>
        <w:tc>
          <w:tcPr>
            <w:tcW w:w="3710" w:type="dxa"/>
          </w:tcPr>
          <w:p w14:paraId="614C9F95" w14:textId="1994446C" w:rsidR="00EB1971" w:rsidRPr="00DE75AB" w:rsidRDefault="00EB1971" w:rsidP="002F7F49">
            <w:r w:rsidRPr="0083353A">
              <w:t>Data quality indicators</w:t>
            </w:r>
          </w:p>
        </w:tc>
        <w:tc>
          <w:tcPr>
            <w:tcW w:w="4385" w:type="dxa"/>
            <w:vMerge/>
          </w:tcPr>
          <w:p w14:paraId="5392F29E" w14:textId="77777777" w:rsidR="00EB1971" w:rsidRPr="00E70013" w:rsidRDefault="00EB1971" w:rsidP="002F7F49"/>
        </w:tc>
      </w:tr>
      <w:tr w:rsidR="006B5CE4" w14:paraId="027DB4B4" w14:textId="77777777" w:rsidTr="006B5CE4">
        <w:trPr>
          <w:cantSplit/>
          <w:trHeight w:val="755"/>
        </w:trPr>
        <w:tc>
          <w:tcPr>
            <w:tcW w:w="1255" w:type="dxa"/>
            <w:vMerge w:val="restart"/>
            <w:textDirection w:val="btLr"/>
          </w:tcPr>
          <w:p w14:paraId="41E044FA" w14:textId="7E16958F" w:rsidR="006B5CE4" w:rsidRPr="00321A4D" w:rsidRDefault="006B5CE4" w:rsidP="006B5CE4">
            <w:pPr>
              <w:ind w:left="113" w:right="113"/>
            </w:pPr>
            <w:r w:rsidRPr="00A55A36">
              <w:lastRenderedPageBreak/>
              <w:t>Demonstration Projects</w:t>
            </w:r>
          </w:p>
        </w:tc>
        <w:tc>
          <w:tcPr>
            <w:tcW w:w="3710" w:type="dxa"/>
          </w:tcPr>
          <w:p w14:paraId="53C313A5" w14:textId="7A0BF8AA" w:rsidR="006B5CE4" w:rsidRPr="00321A4D" w:rsidRDefault="006B5CE4" w:rsidP="006B5CE4">
            <w:r w:rsidRPr="00F43FF0">
              <w:t>Schema validation as a service</w:t>
            </w:r>
          </w:p>
        </w:tc>
        <w:tc>
          <w:tcPr>
            <w:tcW w:w="4385" w:type="dxa"/>
          </w:tcPr>
          <w:p w14:paraId="7DD57F33" w14:textId="6659CCDD" w:rsidR="006B5CE4" w:rsidRPr="00F1604D" w:rsidRDefault="00426B7E" w:rsidP="006B5CE4">
            <w:r w:rsidRPr="00426B7E">
              <w:t>Moon Shot Project: A large audacious project to accelerate AM deployment and accelerate qual/cert through the facile sharing of AM data across organizations (gov. indus. Academia).  Schema validation and use of common data standards.</w:t>
            </w:r>
          </w:p>
        </w:tc>
      </w:tr>
      <w:tr w:rsidR="006B5CE4" w14:paraId="303B9D2B" w14:textId="77777777" w:rsidTr="006B5CE4">
        <w:trPr>
          <w:cantSplit/>
          <w:trHeight w:val="845"/>
        </w:trPr>
        <w:tc>
          <w:tcPr>
            <w:tcW w:w="1255" w:type="dxa"/>
            <w:vMerge/>
          </w:tcPr>
          <w:p w14:paraId="26341196" w14:textId="77777777" w:rsidR="006B5CE4" w:rsidRPr="00321A4D" w:rsidRDefault="006B5CE4" w:rsidP="006B5CE4"/>
        </w:tc>
        <w:tc>
          <w:tcPr>
            <w:tcW w:w="3710" w:type="dxa"/>
          </w:tcPr>
          <w:p w14:paraId="36936E73" w14:textId="75B83900" w:rsidR="006B5CE4" w:rsidRPr="00321A4D" w:rsidRDefault="006B5CE4" w:rsidP="006B5CE4">
            <w:r w:rsidRPr="00F43FF0">
              <w:t>Use Common AM specif</w:t>
            </w:r>
            <w:r>
              <w:t>i</w:t>
            </w:r>
            <w:r w:rsidRPr="00F43FF0">
              <w:t>cations and standards</w:t>
            </w:r>
          </w:p>
        </w:tc>
        <w:tc>
          <w:tcPr>
            <w:tcW w:w="4385" w:type="dxa"/>
          </w:tcPr>
          <w:p w14:paraId="51010C24" w14:textId="4A2D6E23" w:rsidR="006B5CE4" w:rsidRPr="00F1604D" w:rsidRDefault="00B05C70" w:rsidP="006B5CE4">
            <w:r w:rsidRPr="00B05C70">
              <w:t>Develop, verify, &amp; validate CDD and CEF across a federate set of data sources and organizat</w:t>
            </w:r>
            <w:r>
              <w:t>i</w:t>
            </w:r>
            <w:r w:rsidRPr="00B05C70">
              <w:t>ons.</w:t>
            </w:r>
          </w:p>
        </w:tc>
      </w:tr>
      <w:tr w:rsidR="00F71264" w14:paraId="6F0132CE" w14:textId="77777777" w:rsidTr="00A568AB">
        <w:trPr>
          <w:cantSplit/>
          <w:trHeight w:val="935"/>
        </w:trPr>
        <w:tc>
          <w:tcPr>
            <w:tcW w:w="1255" w:type="dxa"/>
            <w:vMerge w:val="restart"/>
            <w:textDirection w:val="btLr"/>
          </w:tcPr>
          <w:p w14:paraId="4975957F" w14:textId="3D9DDDCE" w:rsidR="00F71264" w:rsidRPr="00321A4D" w:rsidRDefault="00F71264" w:rsidP="00707BF2">
            <w:pPr>
              <w:ind w:left="113" w:right="113"/>
            </w:pPr>
            <w:r w:rsidRPr="00A55A36">
              <w:t>Workforce Development of incumbent and new workforce</w:t>
            </w:r>
          </w:p>
        </w:tc>
        <w:tc>
          <w:tcPr>
            <w:tcW w:w="3710" w:type="dxa"/>
          </w:tcPr>
          <w:p w14:paraId="3EF50B71" w14:textId="0D2552E3" w:rsidR="00F71264" w:rsidRPr="0039700C" w:rsidRDefault="00F71264" w:rsidP="00707BF2">
            <w:r w:rsidRPr="00C11CCE">
              <w:t>Incumbent: Education to standards</w:t>
            </w:r>
          </w:p>
        </w:tc>
        <w:tc>
          <w:tcPr>
            <w:tcW w:w="4385" w:type="dxa"/>
            <w:vMerge w:val="restart"/>
            <w:vAlign w:val="center"/>
          </w:tcPr>
          <w:p w14:paraId="6BD5A5D6" w14:textId="4BE7044A" w:rsidR="00F71264" w:rsidRDefault="00F71264" w:rsidP="00F71264">
            <w:r>
              <w:t>Develop a</w:t>
            </w:r>
            <w:r w:rsidR="00B05C70">
              <w:t>n</w:t>
            </w:r>
            <w:r>
              <w:t xml:space="preserve"> education &amp; training program tailored to organizational roles.  </w:t>
            </w:r>
          </w:p>
          <w:p w14:paraId="59C4D3E1" w14:textId="2BC28E5E" w:rsidR="00F71264" w:rsidRPr="00F1604D" w:rsidRDefault="00F71264" w:rsidP="00F71264">
            <w:r>
              <w:t xml:space="preserve">Education/Training: Large data management and IOT stacks.  </w:t>
            </w:r>
          </w:p>
        </w:tc>
      </w:tr>
      <w:tr w:rsidR="00F71264" w14:paraId="1DFF61B3" w14:textId="77777777" w:rsidTr="00A55A36">
        <w:trPr>
          <w:cantSplit/>
          <w:trHeight w:val="782"/>
        </w:trPr>
        <w:tc>
          <w:tcPr>
            <w:tcW w:w="1255" w:type="dxa"/>
            <w:vMerge/>
          </w:tcPr>
          <w:p w14:paraId="1270D3DD" w14:textId="77777777" w:rsidR="00F71264" w:rsidRPr="00321A4D" w:rsidRDefault="00F71264" w:rsidP="00707BF2"/>
        </w:tc>
        <w:tc>
          <w:tcPr>
            <w:tcW w:w="3710" w:type="dxa"/>
          </w:tcPr>
          <w:p w14:paraId="0D7C9251" w14:textId="6BE99160" w:rsidR="00F71264" w:rsidRPr="0039700C" w:rsidRDefault="00F71264" w:rsidP="00707BF2">
            <w:r w:rsidRPr="00C11CCE">
              <w:t>Increased education in data science</w:t>
            </w:r>
          </w:p>
        </w:tc>
        <w:tc>
          <w:tcPr>
            <w:tcW w:w="4385" w:type="dxa"/>
            <w:vMerge/>
          </w:tcPr>
          <w:p w14:paraId="7F05D668" w14:textId="77777777" w:rsidR="00F71264" w:rsidRPr="00F1604D" w:rsidRDefault="00F71264" w:rsidP="00707BF2"/>
        </w:tc>
      </w:tr>
      <w:tr w:rsidR="00A55A36" w14:paraId="516BC2E4" w14:textId="77777777" w:rsidTr="00DD4101">
        <w:trPr>
          <w:cantSplit/>
          <w:trHeight w:val="773"/>
        </w:trPr>
        <w:tc>
          <w:tcPr>
            <w:tcW w:w="1255" w:type="dxa"/>
            <w:textDirection w:val="btLr"/>
          </w:tcPr>
          <w:p w14:paraId="023C428C" w14:textId="6583C84F" w:rsidR="00A55A36" w:rsidRPr="00321A4D" w:rsidRDefault="00A3212C" w:rsidP="00A3212C">
            <w:pPr>
              <w:ind w:left="113" w:right="113"/>
            </w:pPr>
            <w:r w:rsidRPr="00A3212C">
              <w:t>Focus on data use</w:t>
            </w:r>
          </w:p>
        </w:tc>
        <w:tc>
          <w:tcPr>
            <w:tcW w:w="3710" w:type="dxa"/>
          </w:tcPr>
          <w:p w14:paraId="5CD1B3A6" w14:textId="48AA970B" w:rsidR="00A55A36" w:rsidRPr="0016630D" w:rsidRDefault="00DD4101" w:rsidP="002F7F49">
            <w:r w:rsidRPr="00DD4101">
              <w:t>Cross industry value chain mapping</w:t>
            </w:r>
          </w:p>
        </w:tc>
        <w:tc>
          <w:tcPr>
            <w:tcW w:w="4385" w:type="dxa"/>
          </w:tcPr>
          <w:p w14:paraId="73E5C963" w14:textId="6630180F" w:rsidR="00A55A36" w:rsidRPr="00F1604D" w:rsidRDefault="00B54F2B" w:rsidP="002F7F49">
            <w:r w:rsidRPr="00B54F2B">
              <w:t>Mandate use of common data dictionary and common data exchange format to data suppliers including AM equipment manufacturers, automated data acquisition</w:t>
            </w:r>
          </w:p>
        </w:tc>
      </w:tr>
      <w:tr w:rsidR="003D3F15" w14:paraId="4D1CEAD2" w14:textId="77777777" w:rsidTr="00E317E9">
        <w:trPr>
          <w:cantSplit/>
          <w:trHeight w:val="233"/>
        </w:trPr>
        <w:tc>
          <w:tcPr>
            <w:tcW w:w="1255" w:type="dxa"/>
            <w:vMerge w:val="restart"/>
            <w:textDirection w:val="btLr"/>
          </w:tcPr>
          <w:p w14:paraId="4F6A2625" w14:textId="3FCD8FA4" w:rsidR="003D3F15" w:rsidRPr="00A3212C" w:rsidRDefault="003D3F15" w:rsidP="003D3F15">
            <w:pPr>
              <w:ind w:left="113" w:right="113"/>
            </w:pPr>
            <w:r w:rsidRPr="00B0730D">
              <w:t xml:space="preserve">Encouragement of Data </w:t>
            </w:r>
            <w:r>
              <w:t>p</w:t>
            </w:r>
            <w:r w:rsidRPr="00B0730D">
              <w:t>ractices</w:t>
            </w:r>
          </w:p>
        </w:tc>
        <w:tc>
          <w:tcPr>
            <w:tcW w:w="3710" w:type="dxa"/>
          </w:tcPr>
          <w:p w14:paraId="36464664" w14:textId="0082DF6D" w:rsidR="003D3F15" w:rsidRPr="0016630D" w:rsidRDefault="003D3F15" w:rsidP="003D3F15">
            <w:r w:rsidRPr="00E4000D">
              <w:t>Encouraging supply chain use of data formats</w:t>
            </w:r>
          </w:p>
        </w:tc>
        <w:tc>
          <w:tcPr>
            <w:tcW w:w="4385" w:type="dxa"/>
            <w:vMerge w:val="restart"/>
          </w:tcPr>
          <w:p w14:paraId="410738DA" w14:textId="77777777" w:rsidR="003D3F15" w:rsidRPr="00F1604D" w:rsidRDefault="003D3F15" w:rsidP="003D3F15"/>
        </w:tc>
      </w:tr>
      <w:tr w:rsidR="003D3F15" w14:paraId="2A19826B" w14:textId="77777777" w:rsidTr="001E6004">
        <w:trPr>
          <w:cantSplit/>
          <w:trHeight w:val="226"/>
        </w:trPr>
        <w:tc>
          <w:tcPr>
            <w:tcW w:w="1255" w:type="dxa"/>
            <w:vMerge/>
            <w:textDirection w:val="btLr"/>
          </w:tcPr>
          <w:p w14:paraId="6EEDCC7E" w14:textId="77777777" w:rsidR="003D3F15" w:rsidRPr="00B0730D" w:rsidRDefault="003D3F15" w:rsidP="003D3F15">
            <w:pPr>
              <w:ind w:left="113" w:right="113"/>
            </w:pPr>
          </w:p>
        </w:tc>
        <w:tc>
          <w:tcPr>
            <w:tcW w:w="3710" w:type="dxa"/>
          </w:tcPr>
          <w:p w14:paraId="33CAE7DF" w14:textId="37C20AE0" w:rsidR="003D3F15" w:rsidRPr="0016630D" w:rsidRDefault="003D3F15" w:rsidP="003D3F15">
            <w:r w:rsidRPr="00E4000D">
              <w:t>Encouraging supply chain to widen access to data</w:t>
            </w:r>
          </w:p>
        </w:tc>
        <w:tc>
          <w:tcPr>
            <w:tcW w:w="4385" w:type="dxa"/>
            <w:vMerge/>
          </w:tcPr>
          <w:p w14:paraId="0A2E37A6" w14:textId="77777777" w:rsidR="003D3F15" w:rsidRPr="00F1604D" w:rsidRDefault="003D3F15" w:rsidP="003D3F15"/>
        </w:tc>
      </w:tr>
      <w:tr w:rsidR="003D3F15" w14:paraId="7EF98817" w14:textId="77777777" w:rsidTr="001E6004">
        <w:trPr>
          <w:cantSplit/>
          <w:trHeight w:val="226"/>
        </w:trPr>
        <w:tc>
          <w:tcPr>
            <w:tcW w:w="1255" w:type="dxa"/>
            <w:vMerge/>
            <w:textDirection w:val="btLr"/>
          </w:tcPr>
          <w:p w14:paraId="2FAD15AB" w14:textId="77777777" w:rsidR="003D3F15" w:rsidRPr="00B0730D" w:rsidRDefault="003D3F15" w:rsidP="003D3F15">
            <w:pPr>
              <w:ind w:left="113" w:right="113"/>
            </w:pPr>
          </w:p>
        </w:tc>
        <w:tc>
          <w:tcPr>
            <w:tcW w:w="3710" w:type="dxa"/>
          </w:tcPr>
          <w:p w14:paraId="1E250FF3" w14:textId="2A2808A5" w:rsidR="003D3F15" w:rsidRPr="0016630D" w:rsidRDefault="003D3F15" w:rsidP="003D3F15">
            <w:r w:rsidRPr="00E4000D">
              <w:t>Encourage use of CDD and FAIR principles</w:t>
            </w:r>
          </w:p>
        </w:tc>
        <w:tc>
          <w:tcPr>
            <w:tcW w:w="4385" w:type="dxa"/>
            <w:vMerge/>
          </w:tcPr>
          <w:p w14:paraId="0EE1940E" w14:textId="77777777" w:rsidR="003D3F15" w:rsidRPr="00F1604D" w:rsidRDefault="003D3F15" w:rsidP="003D3F15"/>
        </w:tc>
      </w:tr>
      <w:tr w:rsidR="003D3F15" w14:paraId="0E849D75" w14:textId="77777777" w:rsidTr="001E6004">
        <w:trPr>
          <w:cantSplit/>
          <w:trHeight w:val="226"/>
        </w:trPr>
        <w:tc>
          <w:tcPr>
            <w:tcW w:w="1255" w:type="dxa"/>
            <w:vMerge/>
            <w:textDirection w:val="btLr"/>
          </w:tcPr>
          <w:p w14:paraId="45E6E499" w14:textId="77777777" w:rsidR="003D3F15" w:rsidRPr="00B0730D" w:rsidRDefault="003D3F15" w:rsidP="003D3F15">
            <w:pPr>
              <w:ind w:left="113" w:right="113"/>
            </w:pPr>
          </w:p>
        </w:tc>
        <w:tc>
          <w:tcPr>
            <w:tcW w:w="3710" w:type="dxa"/>
          </w:tcPr>
          <w:p w14:paraId="45DCA05E" w14:textId="5CE07C01" w:rsidR="003D3F15" w:rsidRPr="0016630D" w:rsidRDefault="003D3F15" w:rsidP="003D3F15">
            <w:r w:rsidRPr="00E4000D">
              <w:t>DOD 5000  with respect to data</w:t>
            </w:r>
          </w:p>
        </w:tc>
        <w:tc>
          <w:tcPr>
            <w:tcW w:w="4385" w:type="dxa"/>
            <w:vMerge/>
          </w:tcPr>
          <w:p w14:paraId="3C01075F" w14:textId="77777777" w:rsidR="003D3F15" w:rsidRPr="00F1604D" w:rsidRDefault="003D3F15" w:rsidP="003D3F15"/>
        </w:tc>
      </w:tr>
      <w:tr w:rsidR="003D3F15" w14:paraId="471B7FFD" w14:textId="77777777" w:rsidTr="001E6004">
        <w:trPr>
          <w:cantSplit/>
          <w:trHeight w:val="226"/>
        </w:trPr>
        <w:tc>
          <w:tcPr>
            <w:tcW w:w="1255" w:type="dxa"/>
            <w:vMerge/>
            <w:textDirection w:val="btLr"/>
          </w:tcPr>
          <w:p w14:paraId="10995218" w14:textId="77777777" w:rsidR="003D3F15" w:rsidRPr="00B0730D" w:rsidRDefault="003D3F15" w:rsidP="003D3F15">
            <w:pPr>
              <w:ind w:left="113" w:right="113"/>
            </w:pPr>
          </w:p>
        </w:tc>
        <w:tc>
          <w:tcPr>
            <w:tcW w:w="3710" w:type="dxa"/>
          </w:tcPr>
          <w:p w14:paraId="64EF2C39" w14:textId="2B0218F1" w:rsidR="003D3F15" w:rsidRPr="0016630D" w:rsidRDefault="003D3F15" w:rsidP="003D3F15">
            <w:r w:rsidRPr="00E4000D">
              <w:t>Requirements on data providence (data lifecycle management)</w:t>
            </w:r>
          </w:p>
        </w:tc>
        <w:tc>
          <w:tcPr>
            <w:tcW w:w="4385" w:type="dxa"/>
            <w:vMerge/>
          </w:tcPr>
          <w:p w14:paraId="468067D0" w14:textId="77777777" w:rsidR="003D3F15" w:rsidRPr="00F1604D" w:rsidRDefault="003D3F15" w:rsidP="003D3F15"/>
        </w:tc>
      </w:tr>
      <w:tr w:rsidR="003D3F15" w14:paraId="0303808B" w14:textId="77777777" w:rsidTr="001E6004">
        <w:trPr>
          <w:cantSplit/>
          <w:trHeight w:val="226"/>
        </w:trPr>
        <w:tc>
          <w:tcPr>
            <w:tcW w:w="1255" w:type="dxa"/>
            <w:vMerge/>
            <w:textDirection w:val="btLr"/>
          </w:tcPr>
          <w:p w14:paraId="0509D632" w14:textId="77777777" w:rsidR="003D3F15" w:rsidRPr="00B0730D" w:rsidRDefault="003D3F15" w:rsidP="003D3F15">
            <w:pPr>
              <w:ind w:left="113" w:right="113"/>
            </w:pPr>
          </w:p>
        </w:tc>
        <w:tc>
          <w:tcPr>
            <w:tcW w:w="3710" w:type="dxa"/>
          </w:tcPr>
          <w:p w14:paraId="656AE200" w14:textId="0A83A295" w:rsidR="003D3F15" w:rsidRPr="0016630D" w:rsidRDefault="003D3F15" w:rsidP="003D3F15">
            <w:r w:rsidRPr="00E4000D">
              <w:t>Contracting data requirements</w:t>
            </w:r>
          </w:p>
        </w:tc>
        <w:tc>
          <w:tcPr>
            <w:tcW w:w="4385" w:type="dxa"/>
            <w:vMerge/>
          </w:tcPr>
          <w:p w14:paraId="506D0FC9" w14:textId="77777777" w:rsidR="003D3F15" w:rsidRPr="00F1604D" w:rsidRDefault="003D3F15" w:rsidP="003D3F15"/>
        </w:tc>
      </w:tr>
      <w:tr w:rsidR="003D3F15" w14:paraId="28DF8B73" w14:textId="77777777" w:rsidTr="001E6004">
        <w:trPr>
          <w:cantSplit/>
          <w:trHeight w:val="226"/>
        </w:trPr>
        <w:tc>
          <w:tcPr>
            <w:tcW w:w="1255" w:type="dxa"/>
            <w:vMerge/>
            <w:textDirection w:val="btLr"/>
          </w:tcPr>
          <w:p w14:paraId="386704E7" w14:textId="77777777" w:rsidR="003D3F15" w:rsidRPr="00B0730D" w:rsidRDefault="003D3F15" w:rsidP="003D3F15">
            <w:pPr>
              <w:ind w:left="113" w:right="113"/>
            </w:pPr>
          </w:p>
        </w:tc>
        <w:tc>
          <w:tcPr>
            <w:tcW w:w="3710" w:type="dxa"/>
          </w:tcPr>
          <w:p w14:paraId="6333D26F" w14:textId="7700D71D" w:rsidR="003D3F15" w:rsidRPr="0016630D" w:rsidRDefault="003D3F15" w:rsidP="003D3F15">
            <w:r w:rsidRPr="00E4000D">
              <w:t>Data audits as part of funded work</w:t>
            </w:r>
          </w:p>
        </w:tc>
        <w:tc>
          <w:tcPr>
            <w:tcW w:w="4385" w:type="dxa"/>
            <w:vMerge/>
          </w:tcPr>
          <w:p w14:paraId="561CC5DD" w14:textId="77777777" w:rsidR="003D3F15" w:rsidRPr="00F1604D" w:rsidRDefault="003D3F15" w:rsidP="003D3F15"/>
        </w:tc>
      </w:tr>
      <w:tr w:rsidR="003D3F15" w14:paraId="70793642" w14:textId="77777777" w:rsidTr="001E6004">
        <w:trPr>
          <w:cantSplit/>
          <w:trHeight w:val="226"/>
        </w:trPr>
        <w:tc>
          <w:tcPr>
            <w:tcW w:w="1255" w:type="dxa"/>
            <w:vMerge/>
            <w:textDirection w:val="btLr"/>
          </w:tcPr>
          <w:p w14:paraId="22F57E4A" w14:textId="77777777" w:rsidR="003D3F15" w:rsidRPr="00B0730D" w:rsidRDefault="003D3F15" w:rsidP="003D3F15">
            <w:pPr>
              <w:ind w:left="113" w:right="113"/>
            </w:pPr>
          </w:p>
        </w:tc>
        <w:tc>
          <w:tcPr>
            <w:tcW w:w="3710" w:type="dxa"/>
          </w:tcPr>
          <w:p w14:paraId="3EFAA99C" w14:textId="76495B15" w:rsidR="003D3F15" w:rsidRPr="0016630D" w:rsidRDefault="003D3F15" w:rsidP="003D3F15">
            <w:r w:rsidRPr="00E4000D">
              <w:t>Require that data is purchased</w:t>
            </w:r>
          </w:p>
        </w:tc>
        <w:tc>
          <w:tcPr>
            <w:tcW w:w="4385" w:type="dxa"/>
            <w:vMerge/>
          </w:tcPr>
          <w:p w14:paraId="31499F83" w14:textId="77777777" w:rsidR="003D3F15" w:rsidRPr="00F1604D" w:rsidRDefault="003D3F15" w:rsidP="003D3F15"/>
        </w:tc>
      </w:tr>
      <w:tr w:rsidR="00EC4DB7" w14:paraId="74B5E220" w14:textId="77777777" w:rsidTr="001E6004">
        <w:trPr>
          <w:cantSplit/>
          <w:trHeight w:val="1565"/>
        </w:trPr>
        <w:tc>
          <w:tcPr>
            <w:tcW w:w="1255" w:type="dxa"/>
            <w:textDirection w:val="btLr"/>
          </w:tcPr>
          <w:p w14:paraId="0A02F133" w14:textId="483000F0" w:rsidR="00EC4DB7" w:rsidRPr="00A3212C" w:rsidRDefault="00B0730D" w:rsidP="00A3212C">
            <w:pPr>
              <w:ind w:left="113" w:right="113"/>
            </w:pPr>
            <w:r w:rsidRPr="00B0730D">
              <w:t xml:space="preserve">Maintaining consistency with other </w:t>
            </w:r>
            <w:proofErr w:type="spellStart"/>
            <w:r w:rsidRPr="00B0730D">
              <w:t>mfg</w:t>
            </w:r>
            <w:proofErr w:type="spellEnd"/>
            <w:r>
              <w:t xml:space="preserve"> </w:t>
            </w:r>
            <w:r w:rsidR="001E6004">
              <w:t>p</w:t>
            </w:r>
            <w:r w:rsidRPr="00B0730D">
              <w:t>rocesses</w:t>
            </w:r>
          </w:p>
        </w:tc>
        <w:tc>
          <w:tcPr>
            <w:tcW w:w="3710" w:type="dxa"/>
          </w:tcPr>
          <w:p w14:paraId="2DEBE60E" w14:textId="77777777" w:rsidR="00EC4DB7" w:rsidRPr="0016630D" w:rsidRDefault="00EC4DB7" w:rsidP="002F7F49"/>
        </w:tc>
        <w:tc>
          <w:tcPr>
            <w:tcW w:w="4385" w:type="dxa"/>
          </w:tcPr>
          <w:p w14:paraId="4DE56739" w14:textId="77777777" w:rsidR="00EC4DB7" w:rsidRPr="00F1604D" w:rsidRDefault="00EC4DB7" w:rsidP="002F7F49"/>
        </w:tc>
      </w:tr>
      <w:tr w:rsidR="00EC4DB7" w14:paraId="618E2897" w14:textId="77777777" w:rsidTr="001E6004">
        <w:trPr>
          <w:cantSplit/>
          <w:trHeight w:val="1475"/>
        </w:trPr>
        <w:tc>
          <w:tcPr>
            <w:tcW w:w="1255" w:type="dxa"/>
            <w:textDirection w:val="btLr"/>
          </w:tcPr>
          <w:p w14:paraId="2F2196CA" w14:textId="2BBD0B2A" w:rsidR="00EC4DB7" w:rsidRPr="00A3212C" w:rsidRDefault="001E6004" w:rsidP="00A3212C">
            <w:pPr>
              <w:ind w:left="113" w:right="113"/>
            </w:pPr>
            <w:r w:rsidRPr="001E6004">
              <w:t>Constant Improvement</w:t>
            </w:r>
          </w:p>
        </w:tc>
        <w:tc>
          <w:tcPr>
            <w:tcW w:w="3710" w:type="dxa"/>
          </w:tcPr>
          <w:p w14:paraId="36A29714" w14:textId="77777777" w:rsidR="00EC4DB7" w:rsidRPr="0016630D" w:rsidRDefault="00EC4DB7" w:rsidP="002F7F49"/>
        </w:tc>
        <w:tc>
          <w:tcPr>
            <w:tcW w:w="4385" w:type="dxa"/>
          </w:tcPr>
          <w:p w14:paraId="168AAFFD" w14:textId="77777777" w:rsidR="00EC4DB7" w:rsidRPr="00F1604D" w:rsidRDefault="00EC4DB7" w:rsidP="002F7F49"/>
        </w:tc>
      </w:tr>
    </w:tbl>
    <w:p w14:paraId="61249D66" w14:textId="77777777" w:rsidR="001E6004" w:rsidRDefault="001E6004" w:rsidP="0061051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83D58"/>
          <w:sz w:val="26"/>
          <w:szCs w:val="26"/>
        </w:rPr>
      </w:pPr>
    </w:p>
    <w:p w14:paraId="3851FB19" w14:textId="77777777" w:rsidR="00406275" w:rsidRDefault="00406275">
      <w:pPr>
        <w:rPr>
          <w:rFonts w:ascii="Calibri-Light" w:hAnsi="Calibri-Light" w:cs="Calibri-Light"/>
          <w:color w:val="183D58"/>
          <w:sz w:val="26"/>
          <w:szCs w:val="26"/>
        </w:rPr>
      </w:pPr>
      <w:r>
        <w:rPr>
          <w:rFonts w:ascii="Calibri-Light" w:hAnsi="Calibri-Light" w:cs="Calibri-Light"/>
          <w:color w:val="183D58"/>
          <w:sz w:val="26"/>
          <w:szCs w:val="26"/>
        </w:rPr>
        <w:br w:type="page"/>
      </w:r>
    </w:p>
    <w:p w14:paraId="71C93778" w14:textId="63F49055" w:rsidR="00610512" w:rsidRDefault="00610512" w:rsidP="0061051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83D58"/>
          <w:sz w:val="26"/>
          <w:szCs w:val="26"/>
        </w:rPr>
      </w:pPr>
      <w:r>
        <w:rPr>
          <w:rFonts w:ascii="Calibri-Light" w:hAnsi="Calibri-Light" w:cs="Calibri-Light"/>
          <w:color w:val="183D58"/>
          <w:sz w:val="26"/>
          <w:szCs w:val="26"/>
        </w:rPr>
        <w:lastRenderedPageBreak/>
        <w:t>Reference</w:t>
      </w:r>
    </w:p>
    <w:p w14:paraId="3DA23FB2" w14:textId="77777777" w:rsidR="00D67997" w:rsidRDefault="00D67997" w:rsidP="00D67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2AD4F5" w14:textId="671F7A43" w:rsidR="00D67997" w:rsidRPr="00D67997" w:rsidRDefault="00D67997" w:rsidP="00D67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7997">
        <w:rPr>
          <w:rFonts w:ascii="Calibri" w:hAnsi="Calibri" w:cs="Calibri"/>
          <w:color w:val="000000"/>
          <w:sz w:val="24"/>
          <w:szCs w:val="24"/>
        </w:rPr>
        <w:t>SPECIFICATIONS AND STANDARDS.</w:t>
      </w:r>
    </w:p>
    <w:p w14:paraId="6C3872F9" w14:textId="77777777" w:rsidR="00D67997" w:rsidRPr="00D67997" w:rsidRDefault="00D67997" w:rsidP="00D67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7997">
        <w:rPr>
          <w:rFonts w:ascii="Calibri" w:hAnsi="Calibri" w:cs="Calibri"/>
          <w:color w:val="000000"/>
          <w:sz w:val="24"/>
          <w:szCs w:val="24"/>
        </w:rPr>
        <w:t>The OSD, MILDEPs, and Defense Agencies will:</w:t>
      </w:r>
    </w:p>
    <w:p w14:paraId="4C9FAE98" w14:textId="77777777" w:rsidR="00D67997" w:rsidRPr="00D67997" w:rsidRDefault="00D67997" w:rsidP="00D6799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D67997">
        <w:rPr>
          <w:rFonts w:ascii="Calibri" w:hAnsi="Calibri" w:cs="Calibri"/>
          <w:color w:val="000000"/>
          <w:sz w:val="24"/>
          <w:szCs w:val="24"/>
        </w:rPr>
        <w:t>a) Resource the development of common AM specifications and standards, and military specifications only as necessary to</w:t>
      </w:r>
    </w:p>
    <w:p w14:paraId="24F9EC0A" w14:textId="77777777" w:rsidR="00D67997" w:rsidRPr="00D67997" w:rsidRDefault="00D67997" w:rsidP="00D6799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D67997">
        <w:rPr>
          <w:rFonts w:ascii="Calibri" w:hAnsi="Calibri" w:cs="Calibri"/>
          <w:color w:val="000000"/>
          <w:sz w:val="24"/>
          <w:szCs w:val="24"/>
        </w:rPr>
        <w:t>meet specific DoD requirements.</w:t>
      </w:r>
    </w:p>
    <w:p w14:paraId="22E107E9" w14:textId="77777777" w:rsidR="00D67997" w:rsidRPr="00D67997" w:rsidRDefault="00D67997" w:rsidP="00D6799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D67997">
        <w:rPr>
          <w:rFonts w:ascii="Calibri" w:hAnsi="Calibri" w:cs="Calibri"/>
          <w:color w:val="000000"/>
          <w:sz w:val="24"/>
          <w:szCs w:val="24"/>
        </w:rPr>
        <w:t>b) Use common AM specifications and standards to the greatest extent practical.</w:t>
      </w:r>
    </w:p>
    <w:p w14:paraId="2DF94C0A" w14:textId="77777777" w:rsidR="00D67997" w:rsidRPr="00D67997" w:rsidRDefault="00D67997" w:rsidP="00D6799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 w:rsidRPr="00D67997">
        <w:rPr>
          <w:rFonts w:ascii="Calibri" w:hAnsi="Calibri" w:cs="Calibri"/>
          <w:color w:val="000000"/>
          <w:sz w:val="24"/>
          <w:szCs w:val="24"/>
        </w:rPr>
        <w:t>c) In the absence of a common AM specification or standard, encourage the use of approved AM instructions/standards/specs</w:t>
      </w:r>
    </w:p>
    <w:p w14:paraId="447E634F" w14:textId="4FE6DFAB" w:rsidR="005B01ED" w:rsidRDefault="00D67997" w:rsidP="00D6799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  <w:r w:rsidRPr="00D67997">
        <w:rPr>
          <w:rFonts w:ascii="Calibri" w:hAnsi="Calibri" w:cs="Calibri"/>
          <w:color w:val="000000"/>
          <w:sz w:val="24"/>
          <w:szCs w:val="24"/>
        </w:rPr>
        <w:t>of other MILDEPs, and other U.S. Government agencies.</w:t>
      </w:r>
    </w:p>
    <w:sectPr w:rsidR="005B01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72E9" w14:textId="77777777" w:rsidR="001877C1" w:rsidRDefault="001877C1" w:rsidP="001877C1">
      <w:pPr>
        <w:spacing w:after="0" w:line="240" w:lineRule="auto"/>
      </w:pPr>
      <w:r>
        <w:separator/>
      </w:r>
    </w:p>
  </w:endnote>
  <w:endnote w:type="continuationSeparator" w:id="0">
    <w:p w14:paraId="09E6CAA7" w14:textId="77777777" w:rsidR="001877C1" w:rsidRDefault="001877C1" w:rsidP="0018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BC8A" w14:textId="77777777" w:rsidR="001877C1" w:rsidRDefault="001877C1" w:rsidP="001877C1">
      <w:pPr>
        <w:spacing w:after="0" w:line="240" w:lineRule="auto"/>
      </w:pPr>
      <w:r>
        <w:separator/>
      </w:r>
    </w:p>
  </w:footnote>
  <w:footnote w:type="continuationSeparator" w:id="0">
    <w:p w14:paraId="1799AECE" w14:textId="77777777" w:rsidR="001877C1" w:rsidRDefault="001877C1" w:rsidP="0018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0A0B" w14:textId="78B4E5AF" w:rsidR="001877C1" w:rsidRDefault="001877C1">
    <w:pPr>
      <w:pStyle w:val="Header"/>
    </w:pPr>
    <w:r w:rsidRPr="001877C1">
      <w:t>Appendix F-</w:t>
    </w:r>
    <w:r>
      <w:t>9</w:t>
    </w:r>
  </w:p>
  <w:p w14:paraId="6FAB633C" w14:textId="77777777" w:rsidR="001877C1" w:rsidRDefault="00187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6E89"/>
    <w:multiLevelType w:val="hybridMultilevel"/>
    <w:tmpl w:val="F1504CD6"/>
    <w:lvl w:ilvl="0" w:tplc="3B242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D05"/>
    <w:multiLevelType w:val="hybridMultilevel"/>
    <w:tmpl w:val="0C00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B5"/>
    <w:rsid w:val="0001257D"/>
    <w:rsid w:val="00022DD3"/>
    <w:rsid w:val="00080D5F"/>
    <w:rsid w:val="000A0321"/>
    <w:rsid w:val="000C2E74"/>
    <w:rsid w:val="000C47A3"/>
    <w:rsid w:val="000F3125"/>
    <w:rsid w:val="001236F7"/>
    <w:rsid w:val="0015428D"/>
    <w:rsid w:val="0015471F"/>
    <w:rsid w:val="0016630D"/>
    <w:rsid w:val="001739E8"/>
    <w:rsid w:val="001877C1"/>
    <w:rsid w:val="001D5E1D"/>
    <w:rsid w:val="001D614C"/>
    <w:rsid w:val="001E6004"/>
    <w:rsid w:val="0020112D"/>
    <w:rsid w:val="00221561"/>
    <w:rsid w:val="00243E3D"/>
    <w:rsid w:val="00246781"/>
    <w:rsid w:val="0027018C"/>
    <w:rsid w:val="002A16B0"/>
    <w:rsid w:val="002D38EA"/>
    <w:rsid w:val="002F1FE2"/>
    <w:rsid w:val="002F7F49"/>
    <w:rsid w:val="00314EB8"/>
    <w:rsid w:val="00321A4D"/>
    <w:rsid w:val="00332978"/>
    <w:rsid w:val="00374566"/>
    <w:rsid w:val="003760CC"/>
    <w:rsid w:val="0039700C"/>
    <w:rsid w:val="003A19E1"/>
    <w:rsid w:val="003B16BF"/>
    <w:rsid w:val="003B1A62"/>
    <w:rsid w:val="003B5112"/>
    <w:rsid w:val="003D3F15"/>
    <w:rsid w:val="003D4E67"/>
    <w:rsid w:val="003F25DA"/>
    <w:rsid w:val="004052A3"/>
    <w:rsid w:val="00406275"/>
    <w:rsid w:val="00426B7E"/>
    <w:rsid w:val="0042730B"/>
    <w:rsid w:val="004351DC"/>
    <w:rsid w:val="004417E3"/>
    <w:rsid w:val="00450DE5"/>
    <w:rsid w:val="00452E66"/>
    <w:rsid w:val="00465592"/>
    <w:rsid w:val="0049202D"/>
    <w:rsid w:val="00494B70"/>
    <w:rsid w:val="004B3824"/>
    <w:rsid w:val="004B3C2E"/>
    <w:rsid w:val="004C1618"/>
    <w:rsid w:val="0051242A"/>
    <w:rsid w:val="00553693"/>
    <w:rsid w:val="00574297"/>
    <w:rsid w:val="005814B5"/>
    <w:rsid w:val="005970FC"/>
    <w:rsid w:val="005A0612"/>
    <w:rsid w:val="005B01ED"/>
    <w:rsid w:val="005B1469"/>
    <w:rsid w:val="005C0889"/>
    <w:rsid w:val="005C65CF"/>
    <w:rsid w:val="005D1AF1"/>
    <w:rsid w:val="006063AA"/>
    <w:rsid w:val="00606DA4"/>
    <w:rsid w:val="00610512"/>
    <w:rsid w:val="00611CF2"/>
    <w:rsid w:val="00624D5A"/>
    <w:rsid w:val="006470DA"/>
    <w:rsid w:val="0067749E"/>
    <w:rsid w:val="006B4874"/>
    <w:rsid w:val="006B5CE4"/>
    <w:rsid w:val="006C74CA"/>
    <w:rsid w:val="006D27B7"/>
    <w:rsid w:val="006D7F79"/>
    <w:rsid w:val="006E77C0"/>
    <w:rsid w:val="006F0D90"/>
    <w:rsid w:val="00702C66"/>
    <w:rsid w:val="00707BF2"/>
    <w:rsid w:val="00712C19"/>
    <w:rsid w:val="00762BCF"/>
    <w:rsid w:val="007B39C2"/>
    <w:rsid w:val="007B4754"/>
    <w:rsid w:val="007D05C6"/>
    <w:rsid w:val="0081747A"/>
    <w:rsid w:val="00825005"/>
    <w:rsid w:val="0083353A"/>
    <w:rsid w:val="008439AD"/>
    <w:rsid w:val="008473E2"/>
    <w:rsid w:val="008506D7"/>
    <w:rsid w:val="008558CA"/>
    <w:rsid w:val="00857560"/>
    <w:rsid w:val="00894009"/>
    <w:rsid w:val="008A5F9A"/>
    <w:rsid w:val="008F6705"/>
    <w:rsid w:val="0090627E"/>
    <w:rsid w:val="00907173"/>
    <w:rsid w:val="009563C0"/>
    <w:rsid w:val="009620E3"/>
    <w:rsid w:val="009B26F2"/>
    <w:rsid w:val="009B4115"/>
    <w:rsid w:val="009C4BCB"/>
    <w:rsid w:val="009F6974"/>
    <w:rsid w:val="00A3212C"/>
    <w:rsid w:val="00A55A36"/>
    <w:rsid w:val="00A568AB"/>
    <w:rsid w:val="00A62FC4"/>
    <w:rsid w:val="00A80399"/>
    <w:rsid w:val="00AB0C75"/>
    <w:rsid w:val="00AE46A0"/>
    <w:rsid w:val="00AF2A6D"/>
    <w:rsid w:val="00B01FE4"/>
    <w:rsid w:val="00B05C70"/>
    <w:rsid w:val="00B0730D"/>
    <w:rsid w:val="00B145F7"/>
    <w:rsid w:val="00B33285"/>
    <w:rsid w:val="00B46DC4"/>
    <w:rsid w:val="00B501E7"/>
    <w:rsid w:val="00B54F2B"/>
    <w:rsid w:val="00B62E91"/>
    <w:rsid w:val="00BA5541"/>
    <w:rsid w:val="00BA6E88"/>
    <w:rsid w:val="00BB0B10"/>
    <w:rsid w:val="00BE2E2D"/>
    <w:rsid w:val="00BF403D"/>
    <w:rsid w:val="00C061F9"/>
    <w:rsid w:val="00C138E2"/>
    <w:rsid w:val="00C20353"/>
    <w:rsid w:val="00CD7B67"/>
    <w:rsid w:val="00CE154C"/>
    <w:rsid w:val="00CE2FD8"/>
    <w:rsid w:val="00D54A3B"/>
    <w:rsid w:val="00D57380"/>
    <w:rsid w:val="00D67997"/>
    <w:rsid w:val="00D774F7"/>
    <w:rsid w:val="00D94EEB"/>
    <w:rsid w:val="00DD4101"/>
    <w:rsid w:val="00DE43BD"/>
    <w:rsid w:val="00DE75AB"/>
    <w:rsid w:val="00E317E9"/>
    <w:rsid w:val="00E43D04"/>
    <w:rsid w:val="00E70013"/>
    <w:rsid w:val="00EA06AD"/>
    <w:rsid w:val="00EB1971"/>
    <w:rsid w:val="00EC3D2C"/>
    <w:rsid w:val="00EC4DB7"/>
    <w:rsid w:val="00ED4D87"/>
    <w:rsid w:val="00F06858"/>
    <w:rsid w:val="00F1432E"/>
    <w:rsid w:val="00F1604D"/>
    <w:rsid w:val="00F356C9"/>
    <w:rsid w:val="00F36AAE"/>
    <w:rsid w:val="00F50094"/>
    <w:rsid w:val="00F633AA"/>
    <w:rsid w:val="00F71264"/>
    <w:rsid w:val="00FD0FC9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89EC"/>
  <w15:chartTrackingRefBased/>
  <w15:docId w15:val="{1F84F6B2-BF1E-4593-91B6-C80EA04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C1"/>
  </w:style>
  <w:style w:type="paragraph" w:styleId="Footer">
    <w:name w:val="footer"/>
    <w:basedOn w:val="Normal"/>
    <w:link w:val="FooterChar"/>
    <w:uiPriority w:val="99"/>
    <w:unhideWhenUsed/>
    <w:rsid w:val="0018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EE07064181544AD874F2C90148ECE" ma:contentTypeVersion="10" ma:contentTypeDescription="Create a new document." ma:contentTypeScope="" ma:versionID="30e199105cffe130af78e2a19ff61441">
  <xsd:schema xmlns:xsd="http://www.w3.org/2001/XMLSchema" xmlns:xs="http://www.w3.org/2001/XMLSchema" xmlns:p="http://schemas.microsoft.com/office/2006/metadata/properties" xmlns:ns3="6bd89f97-cb89-4ee1-b88c-b4b001dc2d96" targetNamespace="http://schemas.microsoft.com/office/2006/metadata/properties" ma:root="true" ma:fieldsID="392eecce1491b470e01c86f81c0e05f3" ns3:_="">
    <xsd:import namespace="6bd89f97-cb89-4ee1-b88c-b4b001dc2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f97-cb89-4ee1-b88c-b4b001dc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74EE5-88C8-4191-83D7-F355D4F7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9f97-cb89-4ee1-b88c-b4b001dc2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4BC4-3F13-4898-AF6F-F3267FFB1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BC3F0-983D-471E-9AB1-0873593153A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6bd89f97-cb89-4ee1-b88c-b4b001dc2d96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Lowas</dc:creator>
  <cp:keywords/>
  <dc:description/>
  <cp:lastModifiedBy>Langlais, Raymond R.</cp:lastModifiedBy>
  <cp:revision>43</cp:revision>
  <dcterms:created xsi:type="dcterms:W3CDTF">2020-09-30T15:46:00Z</dcterms:created>
  <dcterms:modified xsi:type="dcterms:W3CDTF">2020-10-01T14:00:00Z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0x0101001EFEE07064181544AD874F2C90148ECE</vt:lpwstr>
  </property>
</Properties>
</file>